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FC8CB6" w14:textId="77777777" w:rsidR="00CA3012" w:rsidRPr="00CA3012" w:rsidRDefault="00CA3012" w:rsidP="00CA3012">
      <w:pPr>
        <w:widowControl/>
        <w:jc w:val="center"/>
        <w:rPr>
          <w:rFonts w:ascii="Arial" w:eastAsia="宋体" w:hAnsi="Arial" w:cs="Arial"/>
          <w:color w:val="000000"/>
          <w:kern w:val="0"/>
          <w:sz w:val="20"/>
          <w:szCs w:val="20"/>
        </w:rPr>
      </w:pPr>
      <w:bookmarkStart w:id="0" w:name="_Toc491947642"/>
      <w:bookmarkStart w:id="1" w:name="_GoBack"/>
      <w:bookmarkEnd w:id="1"/>
      <w:r w:rsidRPr="00CA3012">
        <w:rPr>
          <w:rFonts w:ascii="黑体" w:eastAsia="黑体" w:hAnsi="黑体" w:cs="Arial" w:hint="eastAsia"/>
          <w:b/>
          <w:bCs/>
          <w:color w:val="000000"/>
          <w:kern w:val="0"/>
          <w:sz w:val="28"/>
          <w:szCs w:val="28"/>
          <w:lang w:val="x-none"/>
        </w:rPr>
        <w:t>中国传媒大学授予学士学位实施细则（修订）</w:t>
      </w:r>
      <w:bookmarkEnd w:id="0"/>
    </w:p>
    <w:p w14:paraId="3DAF0B78" w14:textId="77777777" w:rsidR="00CA3012" w:rsidRPr="00CA3012" w:rsidRDefault="00CA3012" w:rsidP="00CA3012">
      <w:pPr>
        <w:widowControl/>
        <w:jc w:val="center"/>
        <w:rPr>
          <w:rFonts w:ascii="Arial" w:eastAsia="宋体" w:hAnsi="Arial" w:cs="Arial"/>
          <w:color w:val="000000"/>
          <w:kern w:val="0"/>
          <w:sz w:val="20"/>
          <w:szCs w:val="20"/>
        </w:rPr>
      </w:pPr>
      <w:r w:rsidRPr="00CA3012">
        <w:rPr>
          <w:rFonts w:ascii="宋体" w:eastAsia="宋体" w:hAnsi="宋体" w:cs="Arial" w:hint="eastAsia"/>
          <w:color w:val="000000"/>
          <w:kern w:val="0"/>
          <w:szCs w:val="21"/>
        </w:rPr>
        <w:t>中传教字〔2011〕273 号</w:t>
      </w:r>
    </w:p>
    <w:p w14:paraId="7F57BCE7" w14:textId="77777777" w:rsidR="00CA3012" w:rsidRPr="00CA3012" w:rsidRDefault="00CA3012" w:rsidP="00CA3012">
      <w:pPr>
        <w:widowControl/>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0"/>
          <w:szCs w:val="20"/>
        </w:rPr>
        <w:t> </w:t>
      </w:r>
    </w:p>
    <w:p w14:paraId="63F6E09A"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根据《中华人民共和国学位条例》、《中华人民共和国学位条例暂行实施办法》，结合我校本科生的实际情况，特制定学士学位授予细则。</w:t>
      </w:r>
    </w:p>
    <w:p w14:paraId="1113695C"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一、申请学士学位应该具备以下条件</w:t>
      </w:r>
    </w:p>
    <w:p w14:paraId="30BDBA1A"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（一）凡是拥护中国共产党的领导，拥护社会主义制度，热爱祖国，遵守法纪，品行端正，具有一定学术水平者，都可以按本细则的规定申请相应的学士学位。</w:t>
      </w:r>
    </w:p>
    <w:p w14:paraId="79993C73"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（二）本科学生完成教学计划规定的各项学习任务，掌握本学科的基础理论、专业知识和基本技能，课程和毕业论文成绩合格，经审核准予毕业。毕业生同时满足以下条件方可授予学士学位：</w:t>
      </w:r>
    </w:p>
    <w:p w14:paraId="06B11326"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1. </w:t>
      </w:r>
      <w:r w:rsidRPr="00CA3012">
        <w:rPr>
          <w:rFonts w:ascii="宋体" w:eastAsia="宋体" w:hAnsi="宋体" w:cs="Arial" w:hint="eastAsia"/>
          <w:color w:val="000000"/>
          <w:kern w:val="0"/>
          <w:sz w:val="24"/>
          <w:szCs w:val="24"/>
        </w:rPr>
        <w:t>本科表演专业学生通过学校学位英语二级考试和计算机应用水平测试。</w:t>
      </w:r>
    </w:p>
    <w:p w14:paraId="52384696"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2. </w:t>
      </w:r>
      <w:r w:rsidRPr="00CA3012">
        <w:rPr>
          <w:rFonts w:ascii="宋体" w:eastAsia="宋体" w:hAnsi="宋体" w:cs="Arial" w:hint="eastAsia"/>
          <w:color w:val="000000"/>
          <w:kern w:val="0"/>
          <w:sz w:val="24"/>
          <w:szCs w:val="24"/>
        </w:rPr>
        <w:t>本科艺术类专业中按专业成绩排队录取的专业学生（表演专业除外），通过学校学位英语三级考试和计算机应用水平测试。</w:t>
      </w:r>
    </w:p>
    <w:p w14:paraId="53F8C1A8"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3. </w:t>
      </w:r>
      <w:r w:rsidRPr="00CA3012">
        <w:rPr>
          <w:rFonts w:ascii="宋体" w:eastAsia="宋体" w:hAnsi="宋体" w:cs="Arial" w:hint="eastAsia"/>
          <w:color w:val="000000"/>
          <w:kern w:val="0"/>
          <w:sz w:val="24"/>
          <w:szCs w:val="24"/>
        </w:rPr>
        <w:t>大专学历在职人员本科班</w:t>
      </w:r>
      <w:r w:rsidRPr="00CA3012">
        <w:rPr>
          <w:rFonts w:ascii="Times New Roman" w:eastAsia="宋体" w:hAnsi="Times New Roman" w:cs="Times New Roman"/>
          <w:color w:val="000000"/>
          <w:kern w:val="0"/>
          <w:sz w:val="24"/>
          <w:szCs w:val="24"/>
        </w:rPr>
        <w:t>(</w:t>
      </w:r>
      <w:r w:rsidRPr="00CA3012">
        <w:rPr>
          <w:rFonts w:ascii="宋体" w:eastAsia="宋体" w:hAnsi="宋体" w:cs="Arial" w:hint="eastAsia"/>
          <w:color w:val="000000"/>
          <w:kern w:val="0"/>
          <w:sz w:val="24"/>
          <w:szCs w:val="24"/>
        </w:rPr>
        <w:t>续本科</w:t>
      </w:r>
      <w:r w:rsidRPr="00CA3012">
        <w:rPr>
          <w:rFonts w:ascii="Times New Roman" w:eastAsia="宋体" w:hAnsi="Times New Roman" w:cs="Times New Roman"/>
          <w:color w:val="000000"/>
          <w:kern w:val="0"/>
          <w:sz w:val="24"/>
          <w:szCs w:val="24"/>
        </w:rPr>
        <w:t>)</w:t>
      </w:r>
      <w:r w:rsidRPr="00CA3012">
        <w:rPr>
          <w:rFonts w:ascii="宋体" w:eastAsia="宋体" w:hAnsi="宋体" w:cs="Arial" w:hint="eastAsia"/>
          <w:color w:val="000000"/>
          <w:kern w:val="0"/>
          <w:sz w:val="24"/>
          <w:szCs w:val="24"/>
        </w:rPr>
        <w:t>学生通过学校学位英语三级考试。</w:t>
      </w:r>
    </w:p>
    <w:p w14:paraId="092A29B8"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4. </w:t>
      </w:r>
      <w:r w:rsidRPr="00CA3012">
        <w:rPr>
          <w:rFonts w:ascii="宋体" w:eastAsia="宋体" w:hAnsi="宋体" w:cs="Arial" w:hint="eastAsia"/>
          <w:color w:val="000000"/>
          <w:kern w:val="0"/>
          <w:sz w:val="24"/>
          <w:szCs w:val="24"/>
        </w:rPr>
        <w:t>高考生源地为西藏、新疆的民族预科班、内地高中班及参加普通高考录取的“民考汉”学生和按国家规定免试进入高校的高水平运动员通过学校计算机应用水平测试。</w:t>
      </w:r>
    </w:p>
    <w:p w14:paraId="318F2999"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5. </w:t>
      </w:r>
      <w:r w:rsidRPr="00CA3012">
        <w:rPr>
          <w:rFonts w:ascii="宋体" w:eastAsia="宋体" w:hAnsi="宋体" w:cs="Arial" w:hint="eastAsia"/>
          <w:color w:val="000000"/>
          <w:kern w:val="0"/>
          <w:sz w:val="24"/>
          <w:szCs w:val="24"/>
        </w:rPr>
        <w:t>第二学士学位（非艺术类专业、非艺术类专业方向）学生大学英语四级考试成绩达到报考六级标准。</w:t>
      </w:r>
    </w:p>
    <w:p w14:paraId="5C3B9D6F"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6. </w:t>
      </w:r>
      <w:r w:rsidRPr="00CA3012">
        <w:rPr>
          <w:rFonts w:ascii="宋体" w:eastAsia="宋体" w:hAnsi="宋体" w:cs="Arial" w:hint="eastAsia"/>
          <w:color w:val="000000"/>
          <w:kern w:val="0"/>
          <w:sz w:val="24"/>
          <w:szCs w:val="24"/>
        </w:rPr>
        <w:t>第二学士学位艺术类专业、艺术类专业方向学生通过学校学位英语三级考试。</w:t>
      </w:r>
    </w:p>
    <w:p w14:paraId="761396C5"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7. </w:t>
      </w:r>
      <w:r w:rsidRPr="00CA3012">
        <w:rPr>
          <w:rFonts w:ascii="宋体" w:eastAsia="宋体" w:hAnsi="宋体" w:cs="Arial" w:hint="eastAsia"/>
          <w:color w:val="000000"/>
          <w:kern w:val="0"/>
          <w:sz w:val="24"/>
          <w:szCs w:val="24"/>
        </w:rPr>
        <w:t>其他专业本科学生大学英语四级考试成绩达到报考六级标准并通过学校计算机应用水平测试。</w:t>
      </w:r>
    </w:p>
    <w:p w14:paraId="688BEF89"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8. </w:t>
      </w:r>
      <w:r w:rsidRPr="00CA3012">
        <w:rPr>
          <w:rFonts w:ascii="宋体" w:eastAsia="宋体" w:hAnsi="宋体" w:cs="Arial" w:hint="eastAsia"/>
          <w:color w:val="000000"/>
          <w:kern w:val="0"/>
          <w:sz w:val="24"/>
          <w:szCs w:val="24"/>
        </w:rPr>
        <w:t>下列三种情况可免除英语等级考试：</w:t>
      </w:r>
    </w:p>
    <w:p w14:paraId="5B71513B"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w:t>
      </w:r>
      <w:r w:rsidRPr="00CA3012">
        <w:rPr>
          <w:rFonts w:ascii="Times New Roman" w:eastAsia="宋体" w:hAnsi="Times New Roman" w:cs="Times New Roman"/>
          <w:color w:val="000000"/>
          <w:kern w:val="0"/>
          <w:sz w:val="24"/>
          <w:szCs w:val="24"/>
        </w:rPr>
        <w:t>1</w:t>
      </w:r>
      <w:r w:rsidRPr="00CA3012">
        <w:rPr>
          <w:rFonts w:ascii="宋体" w:eastAsia="宋体" w:hAnsi="宋体" w:cs="Arial" w:hint="eastAsia"/>
          <w:color w:val="000000"/>
          <w:kern w:val="0"/>
          <w:sz w:val="24"/>
          <w:szCs w:val="24"/>
        </w:rPr>
        <w:t>）本科生、第二学士学位</w:t>
      </w:r>
      <w:proofErr w:type="gramStart"/>
      <w:r w:rsidRPr="00CA3012">
        <w:rPr>
          <w:rFonts w:ascii="宋体" w:eastAsia="宋体" w:hAnsi="宋体" w:cs="Arial" w:hint="eastAsia"/>
          <w:color w:val="000000"/>
          <w:kern w:val="0"/>
          <w:sz w:val="24"/>
          <w:szCs w:val="24"/>
        </w:rPr>
        <w:t>学生及续本科</w:t>
      </w:r>
      <w:proofErr w:type="gramEnd"/>
      <w:r w:rsidRPr="00CA3012">
        <w:rPr>
          <w:rFonts w:ascii="宋体" w:eastAsia="宋体" w:hAnsi="宋体" w:cs="Arial" w:hint="eastAsia"/>
          <w:color w:val="000000"/>
          <w:kern w:val="0"/>
          <w:sz w:val="24"/>
          <w:szCs w:val="24"/>
        </w:rPr>
        <w:t>学生，在入校前已经通过大学英语四级考试者或大学英语四级考试成绩达到报考六级标准者。</w:t>
      </w:r>
    </w:p>
    <w:p w14:paraId="254624F1"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w:t>
      </w:r>
      <w:r w:rsidRPr="00CA3012">
        <w:rPr>
          <w:rFonts w:ascii="Times New Roman" w:eastAsia="宋体" w:hAnsi="Times New Roman" w:cs="Times New Roman"/>
          <w:color w:val="000000"/>
          <w:kern w:val="0"/>
          <w:sz w:val="24"/>
          <w:szCs w:val="24"/>
        </w:rPr>
        <w:t>2</w:t>
      </w:r>
      <w:r w:rsidRPr="00CA3012">
        <w:rPr>
          <w:rFonts w:ascii="宋体" w:eastAsia="宋体" w:hAnsi="宋体" w:cs="Arial" w:hint="eastAsia"/>
          <w:color w:val="000000"/>
          <w:kern w:val="0"/>
          <w:sz w:val="24"/>
          <w:szCs w:val="24"/>
        </w:rPr>
        <w:t>）第二学士学位学生在入校前所学专业为英语者。</w:t>
      </w:r>
    </w:p>
    <w:p w14:paraId="0F040998"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w:t>
      </w:r>
      <w:r w:rsidRPr="00CA3012">
        <w:rPr>
          <w:rFonts w:ascii="Times New Roman" w:eastAsia="宋体" w:hAnsi="Times New Roman" w:cs="Times New Roman"/>
          <w:color w:val="000000"/>
          <w:kern w:val="0"/>
          <w:sz w:val="24"/>
          <w:szCs w:val="24"/>
        </w:rPr>
        <w:t>3</w:t>
      </w:r>
      <w:r w:rsidRPr="00CA3012">
        <w:rPr>
          <w:rFonts w:ascii="宋体" w:eastAsia="宋体" w:hAnsi="宋体" w:cs="Arial" w:hint="eastAsia"/>
          <w:color w:val="000000"/>
          <w:kern w:val="0"/>
          <w:sz w:val="24"/>
          <w:szCs w:val="24"/>
        </w:rPr>
        <w:t>）外语类专业学生。</w:t>
      </w:r>
    </w:p>
    <w:p w14:paraId="28F0D01B"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二、毕业生在规定的最长学习年限内出现下列情况之一者，不授予学士学位：</w:t>
      </w:r>
    </w:p>
    <w:p w14:paraId="396C6504"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1. </w:t>
      </w:r>
      <w:r w:rsidRPr="00CA3012">
        <w:rPr>
          <w:rFonts w:ascii="宋体" w:eastAsia="宋体" w:hAnsi="宋体" w:cs="Arial" w:hint="eastAsia"/>
          <w:color w:val="000000"/>
          <w:kern w:val="0"/>
          <w:sz w:val="24"/>
          <w:szCs w:val="24"/>
        </w:rPr>
        <w:t>在校期间因考试违纪和作弊、论文剽窃或作假等与学术有关的原因受过两次记过</w:t>
      </w:r>
      <w:r w:rsidRPr="00CA3012">
        <w:rPr>
          <w:rFonts w:ascii="Times New Roman" w:eastAsia="宋体" w:hAnsi="Times New Roman" w:cs="Times New Roman"/>
          <w:color w:val="000000"/>
          <w:kern w:val="0"/>
          <w:sz w:val="24"/>
          <w:szCs w:val="24"/>
        </w:rPr>
        <w:t>(</w:t>
      </w:r>
      <w:r w:rsidRPr="00CA3012">
        <w:rPr>
          <w:rFonts w:ascii="宋体" w:eastAsia="宋体" w:hAnsi="宋体" w:cs="Arial" w:hint="eastAsia"/>
          <w:color w:val="000000"/>
          <w:kern w:val="0"/>
          <w:sz w:val="24"/>
          <w:szCs w:val="24"/>
        </w:rPr>
        <w:t>不含记过</w:t>
      </w:r>
      <w:r w:rsidRPr="00CA3012">
        <w:rPr>
          <w:rFonts w:ascii="Times New Roman" w:eastAsia="宋体" w:hAnsi="Times New Roman" w:cs="Times New Roman"/>
          <w:color w:val="000000"/>
          <w:kern w:val="0"/>
          <w:sz w:val="24"/>
          <w:szCs w:val="24"/>
        </w:rPr>
        <w:t>)</w:t>
      </w:r>
      <w:r w:rsidRPr="00CA3012">
        <w:rPr>
          <w:rFonts w:ascii="宋体" w:eastAsia="宋体" w:hAnsi="宋体" w:cs="Arial" w:hint="eastAsia"/>
          <w:color w:val="000000"/>
          <w:kern w:val="0"/>
          <w:sz w:val="24"/>
          <w:szCs w:val="24"/>
        </w:rPr>
        <w:t>以下处分者，或受记过（含记过）以上处分者。</w:t>
      </w:r>
    </w:p>
    <w:p w14:paraId="0E6C0FB1"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2. </w:t>
      </w:r>
      <w:r w:rsidRPr="00CA3012">
        <w:rPr>
          <w:rFonts w:ascii="宋体" w:eastAsia="宋体" w:hAnsi="宋体" w:cs="Arial" w:hint="eastAsia"/>
          <w:color w:val="000000"/>
          <w:kern w:val="0"/>
          <w:sz w:val="24"/>
          <w:szCs w:val="24"/>
        </w:rPr>
        <w:t>未获得毕业证书者。</w:t>
      </w:r>
    </w:p>
    <w:p w14:paraId="62A2A67B"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3. </w:t>
      </w:r>
      <w:r w:rsidRPr="00CA3012">
        <w:rPr>
          <w:rFonts w:ascii="宋体" w:eastAsia="宋体" w:hAnsi="宋体" w:cs="Arial" w:hint="eastAsia"/>
          <w:color w:val="000000"/>
          <w:kern w:val="0"/>
          <w:sz w:val="24"/>
          <w:szCs w:val="24"/>
        </w:rPr>
        <w:t>文科、艺术类本科生在学习期间补考课程累计超过</w:t>
      </w:r>
      <w:r w:rsidRPr="00CA3012">
        <w:rPr>
          <w:rFonts w:ascii="Times New Roman" w:eastAsia="宋体" w:hAnsi="Times New Roman" w:cs="Times New Roman"/>
          <w:color w:val="000000"/>
          <w:kern w:val="0"/>
          <w:sz w:val="24"/>
          <w:szCs w:val="24"/>
        </w:rPr>
        <w:t>24</w:t>
      </w:r>
      <w:r w:rsidRPr="00CA3012">
        <w:rPr>
          <w:rFonts w:ascii="宋体" w:eastAsia="宋体" w:hAnsi="宋体" w:cs="Arial" w:hint="eastAsia"/>
          <w:color w:val="000000"/>
          <w:kern w:val="0"/>
          <w:sz w:val="24"/>
          <w:szCs w:val="24"/>
        </w:rPr>
        <w:t>学分（不含</w:t>
      </w:r>
      <w:r w:rsidRPr="00CA3012">
        <w:rPr>
          <w:rFonts w:ascii="Times New Roman" w:eastAsia="宋体" w:hAnsi="Times New Roman" w:cs="Times New Roman"/>
          <w:color w:val="000000"/>
          <w:kern w:val="0"/>
          <w:sz w:val="24"/>
          <w:szCs w:val="24"/>
        </w:rPr>
        <w:t>24</w:t>
      </w:r>
      <w:r w:rsidRPr="00CA3012">
        <w:rPr>
          <w:rFonts w:ascii="宋体" w:eastAsia="宋体" w:hAnsi="宋体" w:cs="Arial" w:hint="eastAsia"/>
          <w:color w:val="000000"/>
          <w:kern w:val="0"/>
          <w:sz w:val="24"/>
          <w:szCs w:val="24"/>
        </w:rPr>
        <w:t>学分）。理工科本科生在学习期间补考课程累计超过</w:t>
      </w:r>
      <w:r w:rsidRPr="00CA3012">
        <w:rPr>
          <w:rFonts w:ascii="Times New Roman" w:eastAsia="宋体" w:hAnsi="Times New Roman" w:cs="Times New Roman"/>
          <w:color w:val="000000"/>
          <w:kern w:val="0"/>
          <w:sz w:val="24"/>
          <w:szCs w:val="24"/>
        </w:rPr>
        <w:t>28</w:t>
      </w:r>
      <w:r w:rsidRPr="00CA3012">
        <w:rPr>
          <w:rFonts w:ascii="宋体" w:eastAsia="宋体" w:hAnsi="宋体" w:cs="Arial" w:hint="eastAsia"/>
          <w:color w:val="000000"/>
          <w:kern w:val="0"/>
          <w:sz w:val="24"/>
          <w:szCs w:val="24"/>
        </w:rPr>
        <w:t>学分（不含</w:t>
      </w:r>
      <w:r w:rsidRPr="00CA3012">
        <w:rPr>
          <w:rFonts w:ascii="Times New Roman" w:eastAsia="宋体" w:hAnsi="Times New Roman" w:cs="Times New Roman"/>
          <w:color w:val="000000"/>
          <w:kern w:val="0"/>
          <w:sz w:val="24"/>
          <w:szCs w:val="24"/>
        </w:rPr>
        <w:t>28</w:t>
      </w:r>
      <w:r w:rsidRPr="00CA3012">
        <w:rPr>
          <w:rFonts w:ascii="宋体" w:eastAsia="宋体" w:hAnsi="宋体" w:cs="Arial" w:hint="eastAsia"/>
          <w:color w:val="000000"/>
          <w:kern w:val="0"/>
          <w:sz w:val="24"/>
          <w:szCs w:val="24"/>
        </w:rPr>
        <w:t>学分）。</w:t>
      </w:r>
      <w:r w:rsidRPr="00CA3012">
        <w:rPr>
          <w:rFonts w:ascii="宋体" w:eastAsia="宋体" w:hAnsi="宋体" w:cs="Arial" w:hint="eastAsia"/>
          <w:color w:val="000000"/>
          <w:kern w:val="0"/>
          <w:sz w:val="24"/>
          <w:szCs w:val="24"/>
        </w:rPr>
        <w:lastRenderedPageBreak/>
        <w:t>第二学士学位学生、续本科学生在学习期间补考课程累计超过</w:t>
      </w:r>
      <w:r w:rsidRPr="00CA3012">
        <w:rPr>
          <w:rFonts w:ascii="Times New Roman" w:eastAsia="宋体" w:hAnsi="Times New Roman" w:cs="Times New Roman"/>
          <w:color w:val="000000"/>
          <w:kern w:val="0"/>
          <w:sz w:val="24"/>
          <w:szCs w:val="24"/>
        </w:rPr>
        <w:t>10</w:t>
      </w:r>
      <w:r w:rsidRPr="00CA3012">
        <w:rPr>
          <w:rFonts w:ascii="宋体" w:eastAsia="宋体" w:hAnsi="宋体" w:cs="Arial" w:hint="eastAsia"/>
          <w:color w:val="000000"/>
          <w:kern w:val="0"/>
          <w:sz w:val="24"/>
          <w:szCs w:val="24"/>
        </w:rPr>
        <w:t>学分者（不含</w:t>
      </w:r>
      <w:r w:rsidRPr="00CA3012">
        <w:rPr>
          <w:rFonts w:ascii="Times New Roman" w:eastAsia="宋体" w:hAnsi="Times New Roman" w:cs="Times New Roman"/>
          <w:color w:val="000000"/>
          <w:kern w:val="0"/>
          <w:sz w:val="24"/>
          <w:szCs w:val="24"/>
        </w:rPr>
        <w:t>10</w:t>
      </w:r>
      <w:r w:rsidRPr="00CA3012">
        <w:rPr>
          <w:rFonts w:ascii="宋体" w:eastAsia="宋体" w:hAnsi="宋体" w:cs="Arial" w:hint="eastAsia"/>
          <w:color w:val="000000"/>
          <w:kern w:val="0"/>
          <w:sz w:val="24"/>
          <w:szCs w:val="24"/>
        </w:rPr>
        <w:t>学分）。</w:t>
      </w:r>
    </w:p>
    <w:p w14:paraId="14D9AAD5"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4. </w:t>
      </w:r>
      <w:r w:rsidRPr="00CA3012">
        <w:rPr>
          <w:rFonts w:ascii="宋体" w:eastAsia="宋体" w:hAnsi="宋体" w:cs="Arial" w:hint="eastAsia"/>
          <w:color w:val="000000"/>
          <w:kern w:val="0"/>
          <w:sz w:val="24"/>
          <w:szCs w:val="24"/>
        </w:rPr>
        <w:t>没有通过大学英语等级考试者（高考生源地为西藏、新疆的民族预科班、内地高中班及参加普通高考录取的“民考汉”学生、按国家规定免试进入高校的高水平运动员除外）。</w:t>
      </w:r>
    </w:p>
    <w:p w14:paraId="7D7B614D"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5. </w:t>
      </w:r>
      <w:r w:rsidRPr="00CA3012">
        <w:rPr>
          <w:rFonts w:ascii="宋体" w:eastAsia="宋体" w:hAnsi="宋体" w:cs="Arial" w:hint="eastAsia"/>
          <w:color w:val="000000"/>
          <w:kern w:val="0"/>
          <w:sz w:val="24"/>
          <w:szCs w:val="24"/>
        </w:rPr>
        <w:t>本科学生没有通过计算机应用水平测试者。</w:t>
      </w:r>
    </w:p>
    <w:p w14:paraId="0150C275"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Times New Roman" w:eastAsia="宋体" w:hAnsi="Times New Roman" w:cs="Times New Roman"/>
          <w:color w:val="000000"/>
          <w:kern w:val="0"/>
          <w:sz w:val="24"/>
          <w:szCs w:val="24"/>
        </w:rPr>
        <w:t xml:space="preserve">6. </w:t>
      </w:r>
      <w:r w:rsidRPr="00CA3012">
        <w:rPr>
          <w:rFonts w:ascii="宋体" w:eastAsia="宋体" w:hAnsi="宋体" w:cs="Arial" w:hint="eastAsia"/>
          <w:color w:val="000000"/>
          <w:kern w:val="0"/>
          <w:sz w:val="24"/>
          <w:szCs w:val="24"/>
        </w:rPr>
        <w:t>经学校学位评定委员会审查认为不能授予学士学位者。</w:t>
      </w:r>
    </w:p>
    <w:p w14:paraId="1240C32C"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三、授予学士学位审批程序</w:t>
      </w:r>
    </w:p>
    <w:p w14:paraId="598C1918"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学生所在学部</w:t>
      </w:r>
      <w:r w:rsidRPr="00CA3012">
        <w:rPr>
          <w:rFonts w:ascii="Times New Roman" w:eastAsia="宋体" w:hAnsi="Times New Roman" w:cs="Times New Roman"/>
          <w:color w:val="000000"/>
          <w:kern w:val="0"/>
          <w:sz w:val="24"/>
          <w:szCs w:val="24"/>
        </w:rPr>
        <w:t>/</w:t>
      </w:r>
      <w:r w:rsidRPr="00CA3012">
        <w:rPr>
          <w:rFonts w:ascii="宋体" w:eastAsia="宋体" w:hAnsi="宋体" w:cs="Arial" w:hint="eastAsia"/>
          <w:color w:val="000000"/>
          <w:kern w:val="0"/>
          <w:sz w:val="24"/>
          <w:szCs w:val="24"/>
        </w:rPr>
        <w:t>直属学院对本科毕业生的政治思想表现、学习成绩和历年奖惩情况逐一进行审查，提出拟授予学士学位的学生名单，报教务处审核。提请校学位评定委员会审议，批准后，由教务处向学士学位获得者颁发证书。</w:t>
      </w:r>
    </w:p>
    <w:p w14:paraId="6EAB9634"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没有通过英语等级考试的学生，允许在最长学习年限内参加学校学位英语考试，通过者补发学位证书。</w:t>
      </w:r>
    </w:p>
    <w:p w14:paraId="47AE4160" w14:textId="77777777" w:rsidR="00CA3012" w:rsidRPr="00CA3012" w:rsidRDefault="00CA3012" w:rsidP="00CA3012">
      <w:pPr>
        <w:widowControl/>
        <w:spacing w:line="360" w:lineRule="atLeast"/>
        <w:ind w:firstLine="420"/>
        <w:jc w:val="left"/>
        <w:rPr>
          <w:rFonts w:ascii="Arial" w:eastAsia="宋体" w:hAnsi="Arial" w:cs="Arial"/>
          <w:color w:val="000000"/>
          <w:kern w:val="0"/>
          <w:sz w:val="20"/>
          <w:szCs w:val="20"/>
        </w:rPr>
      </w:pPr>
      <w:r w:rsidRPr="00CA3012">
        <w:rPr>
          <w:rFonts w:ascii="宋体" w:eastAsia="宋体" w:hAnsi="宋体" w:cs="Arial" w:hint="eastAsia"/>
          <w:color w:val="000000"/>
          <w:kern w:val="0"/>
          <w:sz w:val="24"/>
          <w:szCs w:val="24"/>
        </w:rPr>
        <w:t>没有通过计算机应用水平测试考试的本科学生，允许在最长学习年限内参加学校组织的计算机应用水平测试，通过者补发学位证书。</w:t>
      </w:r>
    </w:p>
    <w:p w14:paraId="458185A4" w14:textId="70C3242F" w:rsidR="001E410F" w:rsidRPr="00CA3012" w:rsidRDefault="00CA3012" w:rsidP="00CA3012">
      <w:pPr>
        <w:widowControl/>
        <w:spacing w:line="360" w:lineRule="atLeast"/>
        <w:ind w:firstLine="420"/>
        <w:jc w:val="left"/>
        <w:rPr>
          <w:rFonts w:ascii="Arial" w:eastAsia="宋体" w:hAnsi="Arial" w:cs="Arial" w:hint="eastAsia"/>
          <w:color w:val="000000"/>
          <w:kern w:val="0"/>
          <w:sz w:val="20"/>
          <w:szCs w:val="20"/>
        </w:rPr>
      </w:pPr>
      <w:r w:rsidRPr="00CA3012">
        <w:rPr>
          <w:rFonts w:ascii="宋体" w:eastAsia="宋体" w:hAnsi="宋体" w:cs="Arial" w:hint="eastAsia"/>
          <w:color w:val="000000"/>
          <w:kern w:val="0"/>
          <w:sz w:val="24"/>
          <w:szCs w:val="24"/>
        </w:rPr>
        <w:t>对高考生源地为西藏、新疆的民族预科班、内地高中班及参加普通高考录取的“民考汉”学生和按国家规定免试进入高校的高水平运动员，条件可以适当放宽。</w:t>
      </w:r>
    </w:p>
    <w:sectPr w:rsidR="001E410F" w:rsidRPr="00CA30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1CAF87" w14:textId="77777777" w:rsidR="00796379" w:rsidRDefault="00796379" w:rsidP="00CA3012">
      <w:r>
        <w:separator/>
      </w:r>
    </w:p>
  </w:endnote>
  <w:endnote w:type="continuationSeparator" w:id="0">
    <w:p w14:paraId="3BDE1D90" w14:textId="77777777" w:rsidR="00796379" w:rsidRDefault="00796379" w:rsidP="00CA30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60F05F" w14:textId="77777777" w:rsidR="00796379" w:rsidRDefault="00796379" w:rsidP="00CA3012">
      <w:r>
        <w:separator/>
      </w:r>
    </w:p>
  </w:footnote>
  <w:footnote w:type="continuationSeparator" w:id="0">
    <w:p w14:paraId="6D816558" w14:textId="77777777" w:rsidR="00796379" w:rsidRDefault="00796379" w:rsidP="00CA30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31E"/>
    <w:rsid w:val="001E410F"/>
    <w:rsid w:val="00796379"/>
    <w:rsid w:val="00CA3012"/>
    <w:rsid w:val="00F073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360DFA"/>
  <w15:chartTrackingRefBased/>
  <w15:docId w15:val="{4AF7E086-24F8-40EE-9E9A-4A8B000E6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301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A3012"/>
    <w:rPr>
      <w:sz w:val="18"/>
      <w:szCs w:val="18"/>
    </w:rPr>
  </w:style>
  <w:style w:type="paragraph" w:styleId="a5">
    <w:name w:val="footer"/>
    <w:basedOn w:val="a"/>
    <w:link w:val="a6"/>
    <w:uiPriority w:val="99"/>
    <w:unhideWhenUsed/>
    <w:rsid w:val="00CA3012"/>
    <w:pPr>
      <w:tabs>
        <w:tab w:val="center" w:pos="4153"/>
        <w:tab w:val="right" w:pos="8306"/>
      </w:tabs>
      <w:snapToGrid w:val="0"/>
      <w:jc w:val="left"/>
    </w:pPr>
    <w:rPr>
      <w:sz w:val="18"/>
      <w:szCs w:val="18"/>
    </w:rPr>
  </w:style>
  <w:style w:type="character" w:customStyle="1" w:styleId="a6">
    <w:name w:val="页脚 字符"/>
    <w:basedOn w:val="a0"/>
    <w:link w:val="a5"/>
    <w:uiPriority w:val="99"/>
    <w:rsid w:val="00CA3012"/>
    <w:rPr>
      <w:sz w:val="18"/>
      <w:szCs w:val="18"/>
    </w:rPr>
  </w:style>
  <w:style w:type="paragraph" w:styleId="a7">
    <w:name w:val="Subtitle"/>
    <w:basedOn w:val="a"/>
    <w:link w:val="a8"/>
    <w:uiPriority w:val="11"/>
    <w:qFormat/>
    <w:rsid w:val="00CA3012"/>
    <w:pPr>
      <w:widowControl/>
      <w:spacing w:before="100" w:beforeAutospacing="1" w:after="100" w:afterAutospacing="1"/>
      <w:jc w:val="left"/>
    </w:pPr>
    <w:rPr>
      <w:rFonts w:ascii="宋体" w:eastAsia="宋体" w:hAnsi="宋体" w:cs="宋体"/>
      <w:kern w:val="0"/>
      <w:sz w:val="24"/>
      <w:szCs w:val="24"/>
    </w:rPr>
  </w:style>
  <w:style w:type="character" w:customStyle="1" w:styleId="a8">
    <w:name w:val="副标题 字符"/>
    <w:basedOn w:val="a0"/>
    <w:link w:val="a7"/>
    <w:uiPriority w:val="11"/>
    <w:rsid w:val="00CA3012"/>
    <w:rPr>
      <w:rFonts w:ascii="宋体" w:eastAsia="宋体" w:hAnsi="宋体" w:cs="宋体"/>
      <w:kern w:val="0"/>
      <w:sz w:val="24"/>
      <w:szCs w:val="24"/>
    </w:rPr>
  </w:style>
  <w:style w:type="character" w:styleId="a9">
    <w:name w:val="Strong"/>
    <w:basedOn w:val="a0"/>
    <w:uiPriority w:val="22"/>
    <w:qFormat/>
    <w:rsid w:val="00CA3012"/>
    <w:rPr>
      <w:b/>
      <w:bCs/>
    </w:rPr>
  </w:style>
  <w:style w:type="paragraph" w:customStyle="1" w:styleId="aa">
    <w:name w:val="a"/>
    <w:basedOn w:val="a"/>
    <w:rsid w:val="00CA3012"/>
    <w:pPr>
      <w:widowControl/>
      <w:spacing w:before="100" w:beforeAutospacing="1" w:after="100" w:afterAutospacing="1"/>
      <w:jc w:val="left"/>
    </w:pPr>
    <w:rPr>
      <w:rFonts w:ascii="宋体" w:eastAsia="宋体" w:hAnsi="宋体" w:cs="宋体"/>
      <w:kern w:val="0"/>
      <w:sz w:val="24"/>
      <w:szCs w:val="24"/>
    </w:rPr>
  </w:style>
  <w:style w:type="character" w:customStyle="1" w:styleId="a00">
    <w:name w:val="a0"/>
    <w:basedOn w:val="a0"/>
    <w:rsid w:val="00CA30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3281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205</Words>
  <Characters>1170</Characters>
  <Application>Microsoft Office Word</Application>
  <DocSecurity>0</DocSecurity>
  <Lines>9</Lines>
  <Paragraphs>2</Paragraphs>
  <ScaleCrop>false</ScaleCrop>
  <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王子 zhug</dc:creator>
  <cp:keywords/>
  <dc:description/>
  <cp:lastModifiedBy>王子 zhug</cp:lastModifiedBy>
  <cp:revision>2</cp:revision>
  <dcterms:created xsi:type="dcterms:W3CDTF">2018-12-18T03:04:00Z</dcterms:created>
  <dcterms:modified xsi:type="dcterms:W3CDTF">2018-12-18T03:04:00Z</dcterms:modified>
</cp:coreProperties>
</file>